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000726" w:rsidTr="00000726">
        <w:tc>
          <w:tcPr>
            <w:tcW w:w="3261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276" w:lineRule="auto"/>
              <w:ind w:right="2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Tarih:</w:t>
            </w:r>
          </w:p>
        </w:tc>
        <w:tc>
          <w:tcPr>
            <w:tcW w:w="7088" w:type="dxa"/>
          </w:tcPr>
          <w:p w:rsidR="00000726" w:rsidRDefault="00000726" w:rsidP="00012127">
            <w:pPr>
              <w:pStyle w:val="GvdeMetni"/>
              <w:tabs>
                <w:tab w:val="left" w:pos="426"/>
              </w:tabs>
              <w:spacing w:line="360" w:lineRule="auto"/>
              <w:ind w:right="26"/>
              <w:jc w:val="both"/>
              <w:rPr>
                <w:color w:val="000000"/>
                <w:szCs w:val="24"/>
              </w:rPr>
            </w:pPr>
          </w:p>
        </w:tc>
      </w:tr>
      <w:tr w:rsidR="00000726" w:rsidTr="00000726">
        <w:tc>
          <w:tcPr>
            <w:tcW w:w="3261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276" w:lineRule="auto"/>
              <w:ind w:right="2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Müşteri / Kurum Adı: </w:t>
            </w:r>
          </w:p>
        </w:tc>
        <w:tc>
          <w:tcPr>
            <w:tcW w:w="7088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360" w:lineRule="auto"/>
              <w:ind w:right="26"/>
              <w:jc w:val="both"/>
              <w:rPr>
                <w:color w:val="000000"/>
                <w:szCs w:val="24"/>
              </w:rPr>
            </w:pPr>
          </w:p>
        </w:tc>
      </w:tr>
      <w:tr w:rsidR="00000726" w:rsidTr="00000726">
        <w:tc>
          <w:tcPr>
            <w:tcW w:w="3261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276" w:lineRule="auto"/>
              <w:ind w:right="2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Numune Kodu:</w:t>
            </w:r>
          </w:p>
        </w:tc>
        <w:tc>
          <w:tcPr>
            <w:tcW w:w="7088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360" w:lineRule="auto"/>
              <w:ind w:right="26"/>
              <w:jc w:val="both"/>
              <w:rPr>
                <w:color w:val="000000"/>
                <w:szCs w:val="24"/>
              </w:rPr>
            </w:pPr>
          </w:p>
        </w:tc>
      </w:tr>
      <w:tr w:rsidR="00000726" w:rsidTr="00BA725B">
        <w:trPr>
          <w:trHeight w:val="951"/>
        </w:trPr>
        <w:tc>
          <w:tcPr>
            <w:tcW w:w="3261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276" w:lineRule="auto"/>
              <w:ind w:right="2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Değerlendirme Talep Edilen Analizler</w:t>
            </w:r>
          </w:p>
        </w:tc>
        <w:tc>
          <w:tcPr>
            <w:tcW w:w="7088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360" w:lineRule="auto"/>
              <w:ind w:right="26"/>
              <w:jc w:val="both"/>
              <w:rPr>
                <w:color w:val="000000"/>
                <w:szCs w:val="24"/>
              </w:rPr>
            </w:pPr>
          </w:p>
        </w:tc>
      </w:tr>
      <w:tr w:rsidR="00000726" w:rsidTr="00000726">
        <w:tc>
          <w:tcPr>
            <w:tcW w:w="3261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276" w:lineRule="auto"/>
              <w:ind w:right="2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Değerlendirmede Esas Alınacak Kaynak (Müşteri tarafından bildirilmesi halinde)</w:t>
            </w:r>
          </w:p>
        </w:tc>
        <w:tc>
          <w:tcPr>
            <w:tcW w:w="7088" w:type="dxa"/>
          </w:tcPr>
          <w:p w:rsidR="00000726" w:rsidRDefault="00000726" w:rsidP="00000726">
            <w:pPr>
              <w:pStyle w:val="GvdeMetni"/>
              <w:tabs>
                <w:tab w:val="left" w:pos="426"/>
              </w:tabs>
              <w:spacing w:line="360" w:lineRule="auto"/>
              <w:ind w:right="26"/>
              <w:jc w:val="both"/>
              <w:rPr>
                <w:color w:val="000000"/>
                <w:szCs w:val="24"/>
              </w:rPr>
            </w:pPr>
          </w:p>
        </w:tc>
      </w:tr>
    </w:tbl>
    <w:p w:rsidR="00000726" w:rsidRPr="00593CF5" w:rsidRDefault="00000726" w:rsidP="00012127">
      <w:pPr>
        <w:pStyle w:val="GvdeMetni"/>
        <w:tabs>
          <w:tab w:val="left" w:pos="426"/>
        </w:tabs>
        <w:spacing w:line="360" w:lineRule="auto"/>
        <w:ind w:right="26"/>
        <w:jc w:val="both"/>
        <w:rPr>
          <w:b/>
          <w:color w:val="000000"/>
          <w:szCs w:val="24"/>
        </w:rPr>
      </w:pPr>
      <w:r w:rsidRPr="00593CF5">
        <w:rPr>
          <w:b/>
          <w:color w:val="000000"/>
          <w:szCs w:val="24"/>
        </w:rPr>
        <w:t xml:space="preserve">ATB Tarafından Uygulanacak Karar Kuralı </w:t>
      </w:r>
    </w:p>
    <w:p w:rsidR="001B1EDA" w:rsidRDefault="00012127" w:rsidP="00012127">
      <w:pPr>
        <w:pStyle w:val="GvdeMetni"/>
        <w:tabs>
          <w:tab w:val="left" w:pos="426"/>
        </w:tabs>
        <w:spacing w:line="360" w:lineRule="auto"/>
        <w:ind w:right="26"/>
        <w:jc w:val="both"/>
        <w:rPr>
          <w:color w:val="000000"/>
          <w:szCs w:val="24"/>
        </w:rPr>
      </w:pPr>
      <w:r>
        <w:rPr>
          <w:color w:val="000000"/>
          <w:szCs w:val="24"/>
        </w:rPr>
        <w:t>Analiz Sonuçları İçin Uygunluk Değerlendirme</w:t>
      </w:r>
      <w:r w:rsidR="00B068ED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inde Karşılaşılabilecek Olası Durumlar için </w:t>
      </w:r>
      <w:proofErr w:type="spellStart"/>
      <w:r w:rsidR="00000726">
        <w:rPr>
          <w:color w:val="000000"/>
          <w:szCs w:val="24"/>
        </w:rPr>
        <w:t>ATB’de</w:t>
      </w:r>
      <w:proofErr w:type="spellEnd"/>
      <w:r w:rsidR="00000726">
        <w:rPr>
          <w:color w:val="000000"/>
          <w:szCs w:val="24"/>
        </w:rPr>
        <w:t xml:space="preserve"> uygulanacak Kar</w:t>
      </w:r>
      <w:r w:rsidR="00EF4BDC">
        <w:rPr>
          <w:color w:val="000000"/>
          <w:szCs w:val="24"/>
        </w:rPr>
        <w:t>ar</w:t>
      </w:r>
      <w:r w:rsidR="00000726">
        <w:rPr>
          <w:color w:val="000000"/>
          <w:szCs w:val="24"/>
        </w:rPr>
        <w:t xml:space="preserve"> Kuralı </w:t>
      </w:r>
      <w:r>
        <w:rPr>
          <w:color w:val="000000"/>
          <w:szCs w:val="24"/>
        </w:rPr>
        <w:t>aşağıda belirtilmiştir.</w:t>
      </w:r>
    </w:p>
    <w:p w:rsidR="00012127" w:rsidRDefault="00012127" w:rsidP="00012127">
      <w:pPr>
        <w:pStyle w:val="GvdeMetniGirintisi3"/>
        <w:numPr>
          <w:ilvl w:val="0"/>
          <w:numId w:val="3"/>
        </w:numPr>
        <w:spacing w:line="360" w:lineRule="auto"/>
        <w:ind w:left="709" w:hanging="425"/>
        <w:jc w:val="both"/>
        <w:rPr>
          <w:sz w:val="24"/>
        </w:rPr>
      </w:pPr>
      <w:r>
        <w:rPr>
          <w:sz w:val="24"/>
        </w:rPr>
        <w:t xml:space="preserve">Resmi </w:t>
      </w:r>
      <w:r w:rsidRPr="002D497A">
        <w:rPr>
          <w:color w:val="000000" w:themeColor="text1"/>
          <w:sz w:val="24"/>
        </w:rPr>
        <w:t>Analizler</w:t>
      </w:r>
      <w:r w:rsidR="007102FB" w:rsidRPr="002D497A">
        <w:rPr>
          <w:color w:val="000000" w:themeColor="text1"/>
          <w:sz w:val="24"/>
        </w:rPr>
        <w:t xml:space="preserve"> ve </w:t>
      </w:r>
      <w:r w:rsidR="007102FB">
        <w:rPr>
          <w:sz w:val="24"/>
        </w:rPr>
        <w:t>İhracat analizleri</w:t>
      </w:r>
      <w:r>
        <w:rPr>
          <w:sz w:val="24"/>
        </w:rPr>
        <w:t xml:space="preserve"> İçin</w:t>
      </w:r>
      <w:r w:rsidR="00082AB0">
        <w:rPr>
          <w:sz w:val="24"/>
        </w:rPr>
        <w:t xml:space="preserve"> </w:t>
      </w:r>
      <w:r>
        <w:rPr>
          <w:sz w:val="24"/>
        </w:rPr>
        <w:t xml:space="preserve">Uygunluk Değerlendirmesi yapılmamaktadır. </w:t>
      </w:r>
    </w:p>
    <w:p w:rsidR="00612A94" w:rsidRDefault="00612A94" w:rsidP="00012127">
      <w:pPr>
        <w:pStyle w:val="GvdeMetniGirintisi3"/>
        <w:numPr>
          <w:ilvl w:val="0"/>
          <w:numId w:val="2"/>
        </w:num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 xml:space="preserve">İthalat </w:t>
      </w:r>
      <w:proofErr w:type="spellStart"/>
      <w:r>
        <w:rPr>
          <w:sz w:val="24"/>
        </w:rPr>
        <w:t>Mikotoksin</w:t>
      </w:r>
      <w:proofErr w:type="spellEnd"/>
      <w:r>
        <w:rPr>
          <w:sz w:val="24"/>
        </w:rPr>
        <w:t xml:space="preserve"> analizleri için </w:t>
      </w:r>
      <w:r w:rsidRPr="007102FB">
        <w:rPr>
          <w:color w:val="000000" w:themeColor="text1"/>
          <w:sz w:val="24"/>
        </w:rPr>
        <w:t xml:space="preserve">“Gıda ve Kontrol Genel Müdürlüğü Resmi Numune Alma Prosedürü (m maddesi) gereğince </w:t>
      </w:r>
      <w:r>
        <w:rPr>
          <w:color w:val="000000" w:themeColor="text1"/>
          <w:sz w:val="24"/>
        </w:rPr>
        <w:t>“</w:t>
      </w:r>
      <w:r w:rsidRPr="007102FB">
        <w:rPr>
          <w:color w:val="000000" w:themeColor="text1"/>
          <w:sz w:val="24"/>
        </w:rPr>
        <w:t>Uygunluk değerlendirmesinde “varsa ölçüm belirsizliği değerini işletmeci lehinde kulla</w:t>
      </w:r>
      <w:r>
        <w:rPr>
          <w:color w:val="000000" w:themeColor="text1"/>
          <w:sz w:val="24"/>
        </w:rPr>
        <w:t>na</w:t>
      </w:r>
      <w:r w:rsidRPr="007102FB">
        <w:rPr>
          <w:color w:val="000000" w:themeColor="text1"/>
          <w:sz w:val="24"/>
        </w:rPr>
        <w:t xml:space="preserve">rak bulduğu analiz sonucunu ilgili mevzuat kapsamında “Uygundur/ Uygun </w:t>
      </w:r>
      <w:proofErr w:type="spellStart"/>
      <w:r w:rsidRPr="007102FB">
        <w:rPr>
          <w:color w:val="000000" w:themeColor="text1"/>
          <w:sz w:val="24"/>
        </w:rPr>
        <w:t>Değildir”şeklinde</w:t>
      </w:r>
      <w:proofErr w:type="spellEnd"/>
      <w:r w:rsidRPr="007102FB">
        <w:rPr>
          <w:color w:val="000000" w:themeColor="text1"/>
          <w:sz w:val="24"/>
        </w:rPr>
        <w:t xml:space="preserve"> belirterek yapar” ifadesi nedeni ile</w:t>
      </w:r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mikotoksin</w:t>
      </w:r>
      <w:proofErr w:type="spellEnd"/>
      <w:r>
        <w:rPr>
          <w:color w:val="000000" w:themeColor="text1"/>
          <w:sz w:val="24"/>
        </w:rPr>
        <w:t xml:space="preserve"> </w:t>
      </w:r>
      <w:r w:rsidRPr="007102FB">
        <w:rPr>
          <w:color w:val="000000" w:themeColor="text1"/>
          <w:sz w:val="24"/>
        </w:rPr>
        <w:t xml:space="preserve">ithalat </w:t>
      </w:r>
      <w:r>
        <w:rPr>
          <w:color w:val="000000" w:themeColor="text1"/>
          <w:sz w:val="24"/>
        </w:rPr>
        <w:t xml:space="preserve">ve özel istek </w:t>
      </w:r>
      <w:r w:rsidRPr="007102FB">
        <w:rPr>
          <w:color w:val="000000" w:themeColor="text1"/>
          <w:sz w:val="24"/>
        </w:rPr>
        <w:t>numuneler</w:t>
      </w:r>
      <w:r>
        <w:rPr>
          <w:color w:val="000000" w:themeColor="text1"/>
          <w:sz w:val="24"/>
        </w:rPr>
        <w:t>i</w:t>
      </w:r>
      <w:r w:rsidRPr="007102FB">
        <w:rPr>
          <w:color w:val="000000" w:themeColor="text1"/>
          <w:sz w:val="24"/>
        </w:rPr>
        <w:t>nde müşterinin lehine olacak şekilde değerlendirme yapılmaktadır.</w:t>
      </w:r>
      <w:proofErr w:type="gramEnd"/>
    </w:p>
    <w:p w:rsidR="00012127" w:rsidRDefault="007102FB" w:rsidP="00012127">
      <w:pPr>
        <w:pStyle w:val="GvdeMetniGirintisi3"/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Özel istek analizlerde </w:t>
      </w:r>
      <w:r w:rsidR="00012127">
        <w:rPr>
          <w:sz w:val="24"/>
        </w:rPr>
        <w:t>Uygunluk Değerlendirmesi</w:t>
      </w:r>
      <w:r w:rsidR="009E744E">
        <w:rPr>
          <w:sz w:val="24"/>
        </w:rPr>
        <w:t>;</w:t>
      </w:r>
      <w:r w:rsidR="00012127">
        <w:rPr>
          <w:sz w:val="24"/>
        </w:rPr>
        <w:t xml:space="preserve"> ilgili analiz için yasal zorunluluk </w:t>
      </w:r>
      <w:proofErr w:type="gramStart"/>
      <w:r w:rsidR="00012127">
        <w:rPr>
          <w:sz w:val="24"/>
        </w:rPr>
        <w:t>yada</w:t>
      </w:r>
      <w:proofErr w:type="gramEnd"/>
      <w:r w:rsidR="00012127">
        <w:rPr>
          <w:sz w:val="24"/>
        </w:rPr>
        <w:t xml:space="preserve"> müşteri talebi olması halinde</w:t>
      </w:r>
      <w:r w:rsidR="005311D6">
        <w:rPr>
          <w:sz w:val="24"/>
        </w:rPr>
        <w:t xml:space="preserve">; ancak yasal mevzuatlarda yada ilgili </w:t>
      </w:r>
      <w:r w:rsidR="00012127" w:rsidRPr="003B3907">
        <w:rPr>
          <w:sz w:val="24"/>
        </w:rPr>
        <w:t>standartlarda tanımlı kriterler</w:t>
      </w:r>
      <w:r w:rsidR="005311D6">
        <w:rPr>
          <w:sz w:val="24"/>
        </w:rPr>
        <w:t xml:space="preserve"> (limit değerler)</w:t>
      </w:r>
      <w:r w:rsidR="00012127" w:rsidRPr="003B3907">
        <w:rPr>
          <w:sz w:val="24"/>
        </w:rPr>
        <w:t xml:space="preserve"> var </w:t>
      </w:r>
      <w:r w:rsidR="00012127">
        <w:rPr>
          <w:sz w:val="24"/>
        </w:rPr>
        <w:t xml:space="preserve">olması durumunda </w:t>
      </w:r>
      <w:r w:rsidR="00012127" w:rsidRPr="003B3907">
        <w:rPr>
          <w:sz w:val="24"/>
        </w:rPr>
        <w:t>yapılmaktadır.</w:t>
      </w:r>
      <w:r w:rsidR="00000726">
        <w:rPr>
          <w:sz w:val="24"/>
        </w:rPr>
        <w:t xml:space="preserve"> İlgili analiz için herhangi bir limit bulunmaması durumunda sonuç direk raporlanır herhangi bir değerlendirme yapılmaz.</w:t>
      </w:r>
    </w:p>
    <w:p w:rsidR="001B1EDA" w:rsidRPr="001B1EDA" w:rsidRDefault="00BE6BAF" w:rsidP="001B1EDA">
      <w:pPr>
        <w:pStyle w:val="GvdeMetniGirintisi3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1B1EDA">
        <w:rPr>
          <w:sz w:val="24"/>
        </w:rPr>
        <w:t>Karar Kuralı uygulanmadan önce ilgili analiz için yasal limitler</w:t>
      </w:r>
      <w:r w:rsidR="00241036" w:rsidRPr="001B1EDA">
        <w:rPr>
          <w:sz w:val="24"/>
        </w:rPr>
        <w:t>, mevzuatlar</w:t>
      </w:r>
      <w:r w:rsidRPr="001B1EDA">
        <w:rPr>
          <w:sz w:val="24"/>
        </w:rPr>
        <w:t xml:space="preserve"> gözden geçirilir ve güncel limitler </w:t>
      </w:r>
      <w:r w:rsidR="00241036" w:rsidRPr="001B1EDA">
        <w:rPr>
          <w:sz w:val="24"/>
        </w:rPr>
        <w:t>ve me</w:t>
      </w:r>
      <w:r w:rsidR="00DF1942" w:rsidRPr="001B1EDA">
        <w:rPr>
          <w:sz w:val="24"/>
        </w:rPr>
        <w:t>v</w:t>
      </w:r>
      <w:r w:rsidR="00241036" w:rsidRPr="001B1EDA">
        <w:rPr>
          <w:sz w:val="24"/>
        </w:rPr>
        <w:t xml:space="preserve">zuat </w:t>
      </w:r>
      <w:r w:rsidRPr="001B1EDA">
        <w:rPr>
          <w:sz w:val="24"/>
        </w:rPr>
        <w:t>esas alınarak değerlendirme yapılır.</w:t>
      </w:r>
    </w:p>
    <w:p w:rsidR="001B1EDA" w:rsidRPr="00082AB0" w:rsidRDefault="001B1EDA" w:rsidP="00082AB0">
      <w:pPr>
        <w:pStyle w:val="GvdeMetniGirintisi3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7C6C50">
        <w:rPr>
          <w:sz w:val="24"/>
        </w:rPr>
        <w:t xml:space="preserve">Analiz sonuçlarının ölçüm belirsizliği değeri ile birlikte değerlendirilmesinde aşağıda belirtilen üç durum </w:t>
      </w:r>
      <w:proofErr w:type="spellStart"/>
      <w:r w:rsidRPr="007C6C50">
        <w:rPr>
          <w:sz w:val="24"/>
        </w:rPr>
        <w:t>sözkonusudur</w:t>
      </w:r>
      <w:proofErr w:type="spellEnd"/>
      <w:r w:rsidRPr="007C6C50">
        <w:rPr>
          <w:sz w:val="24"/>
        </w:rPr>
        <w:t xml:space="preserve">. (Mikotoksin, Kimyasal analizler için) </w:t>
      </w:r>
    </w:p>
    <w:p w:rsidR="00082AB0" w:rsidRDefault="00082AB0" w:rsidP="00BA725B">
      <w:pPr>
        <w:pStyle w:val="GvdeMetniGirintisi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51B70">
        <w:rPr>
          <w:color w:val="000000"/>
        </w:rPr>
        <w:drawing>
          <wp:inline distT="0" distB="0" distL="0" distR="0">
            <wp:extent cx="3124200" cy="1352550"/>
            <wp:effectExtent l="0" t="0" r="0" b="0"/>
            <wp:docPr id="2" name="Resim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B0" w:rsidRPr="00082AB0" w:rsidRDefault="00082AB0" w:rsidP="00082AB0">
      <w:pPr>
        <w:pStyle w:val="GvdeMetniGirintisi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Şekil 1. </w:t>
      </w:r>
      <w:r w:rsidRPr="007A5155">
        <w:rPr>
          <w:rFonts w:ascii="Times New Roman" w:hAnsi="Times New Roman"/>
          <w:color w:val="000000"/>
          <w:sz w:val="24"/>
          <w:szCs w:val="24"/>
        </w:rPr>
        <w:t>Genişletilmiş belirsizliğin hesaba katıldığı ölçüm sonuçları ile üst limitin ilişkisi</w:t>
      </w:r>
    </w:p>
    <w:p w:rsidR="00082AB0" w:rsidRDefault="00082AB0" w:rsidP="00082AB0">
      <w:pPr>
        <w:pStyle w:val="GvdeMetniGirintisi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356B">
        <w:rPr>
          <w:rFonts w:ascii="Times New Roman" w:hAnsi="Times New Roman"/>
          <w:sz w:val="24"/>
          <w:szCs w:val="24"/>
        </w:rPr>
        <w:lastRenderedPageBreak/>
        <w:t xml:space="preserve">Şekil 1’de yer alan </w:t>
      </w:r>
      <w:r w:rsidRPr="0013356B">
        <w:rPr>
          <w:rFonts w:ascii="Times New Roman" w:hAnsi="Times New Roman"/>
          <w:b/>
          <w:sz w:val="24"/>
          <w:szCs w:val="24"/>
        </w:rPr>
        <w:t>i</w:t>
      </w:r>
      <w:r w:rsidRPr="0013356B">
        <w:rPr>
          <w:rFonts w:ascii="Times New Roman" w:hAnsi="Times New Roman"/>
          <w:sz w:val="24"/>
          <w:szCs w:val="24"/>
        </w:rPr>
        <w:t xml:space="preserve"> ve </w:t>
      </w:r>
      <w:r w:rsidRPr="0013356B">
        <w:rPr>
          <w:rFonts w:ascii="Times New Roman" w:hAnsi="Times New Roman"/>
          <w:b/>
          <w:sz w:val="24"/>
          <w:szCs w:val="24"/>
        </w:rPr>
        <w:t>iv</w:t>
      </w:r>
      <w:r w:rsidRPr="0013356B">
        <w:rPr>
          <w:rFonts w:ascii="Times New Roman" w:hAnsi="Times New Roman"/>
          <w:sz w:val="24"/>
          <w:szCs w:val="24"/>
        </w:rPr>
        <w:t xml:space="preserve"> numaralı durumlarda, </w:t>
      </w:r>
      <w:r>
        <w:rPr>
          <w:rFonts w:ascii="Times New Roman" w:hAnsi="Times New Roman"/>
          <w:sz w:val="24"/>
          <w:szCs w:val="24"/>
        </w:rPr>
        <w:t xml:space="preserve">Genişletilmiş belirsizliğin yarısı ilave adildiğinde veya çıkarıldığında </w:t>
      </w:r>
      <w:r w:rsidRPr="0013356B">
        <w:rPr>
          <w:rFonts w:ascii="Times New Roman" w:hAnsi="Times New Roman"/>
          <w:sz w:val="24"/>
          <w:szCs w:val="24"/>
        </w:rPr>
        <w:t xml:space="preserve">ölçüm sonuçları, belirgin bir şekilde limit değerin üstünde veya altında kalmaktadır. </w:t>
      </w:r>
      <w:r>
        <w:rPr>
          <w:rFonts w:ascii="Times New Roman" w:hAnsi="Times New Roman"/>
          <w:sz w:val="24"/>
          <w:szCs w:val="24"/>
        </w:rPr>
        <w:t>B</w:t>
      </w:r>
      <w:r w:rsidRPr="0013356B">
        <w:rPr>
          <w:rFonts w:ascii="Times New Roman" w:hAnsi="Times New Roman"/>
          <w:sz w:val="24"/>
          <w:szCs w:val="24"/>
        </w:rPr>
        <w:t>u iki durumda uygunluğun değerlendirilmesi çok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56B">
        <w:rPr>
          <w:rFonts w:ascii="Times New Roman" w:hAnsi="Times New Roman"/>
          <w:sz w:val="24"/>
          <w:szCs w:val="24"/>
        </w:rPr>
        <w:t>nettir.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356B">
        <w:rPr>
          <w:rFonts w:ascii="Times New Roman" w:hAnsi="Times New Roman"/>
          <w:sz w:val="24"/>
          <w:szCs w:val="24"/>
        </w:rPr>
        <w:t xml:space="preserve">Sonuç </w:t>
      </w:r>
    </w:p>
    <w:p w:rsidR="00082AB0" w:rsidRDefault="00082AB0" w:rsidP="00082AB0">
      <w:pPr>
        <w:pStyle w:val="GvdeMetniGirintisi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Pr="0013356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”</w:t>
      </w:r>
      <w:r w:rsidRPr="0013356B">
        <w:rPr>
          <w:rFonts w:ascii="Times New Roman" w:hAnsi="Times New Roman"/>
          <w:sz w:val="24"/>
          <w:szCs w:val="24"/>
        </w:rPr>
        <w:t xml:space="preserve"> için </w:t>
      </w:r>
      <w:r w:rsidRPr="00C35E83">
        <w:rPr>
          <w:rFonts w:ascii="Times New Roman" w:hAnsi="Times New Roman"/>
          <w:b/>
          <w:sz w:val="24"/>
          <w:szCs w:val="24"/>
        </w:rPr>
        <w:t>UYGUN,</w:t>
      </w:r>
      <w:r w:rsidRPr="0013356B">
        <w:rPr>
          <w:rFonts w:ascii="Times New Roman" w:hAnsi="Times New Roman"/>
          <w:sz w:val="24"/>
          <w:szCs w:val="24"/>
        </w:rPr>
        <w:t xml:space="preserve"> </w:t>
      </w:r>
    </w:p>
    <w:p w:rsidR="00082AB0" w:rsidRDefault="00082AB0" w:rsidP="00082AB0">
      <w:pPr>
        <w:pStyle w:val="GvdeMetniGirintisi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>i</w:t>
      </w:r>
      <w:r w:rsidRPr="0013356B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” </w:t>
      </w:r>
      <w:r w:rsidRPr="0013356B">
        <w:rPr>
          <w:rFonts w:ascii="Times New Roman" w:hAnsi="Times New Roman"/>
          <w:sz w:val="24"/>
          <w:szCs w:val="24"/>
        </w:rPr>
        <w:t xml:space="preserve">için </w:t>
      </w:r>
      <w:r>
        <w:rPr>
          <w:rFonts w:ascii="Times New Roman" w:hAnsi="Times New Roman"/>
          <w:sz w:val="24"/>
          <w:szCs w:val="24"/>
        </w:rPr>
        <w:t>“</w:t>
      </w:r>
      <w:r w:rsidRPr="00C35E83">
        <w:rPr>
          <w:rFonts w:ascii="Times New Roman" w:hAnsi="Times New Roman"/>
          <w:b/>
          <w:sz w:val="24"/>
          <w:szCs w:val="24"/>
        </w:rPr>
        <w:t>UYGUN DEĞİL</w:t>
      </w:r>
      <w:r>
        <w:rPr>
          <w:rFonts w:ascii="Times New Roman" w:hAnsi="Times New Roman"/>
          <w:b/>
          <w:sz w:val="24"/>
          <w:szCs w:val="24"/>
        </w:rPr>
        <w:t>”</w:t>
      </w:r>
      <w:r w:rsidRPr="0013356B">
        <w:rPr>
          <w:rFonts w:ascii="Times New Roman" w:hAnsi="Times New Roman"/>
          <w:sz w:val="24"/>
          <w:szCs w:val="24"/>
        </w:rPr>
        <w:t xml:space="preserve"> </w:t>
      </w:r>
    </w:p>
    <w:p w:rsidR="00082AB0" w:rsidRPr="0013356B" w:rsidRDefault="00082AB0" w:rsidP="00082AB0">
      <w:pPr>
        <w:pStyle w:val="GvdeMetniGirintisi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3356B">
        <w:rPr>
          <w:rFonts w:ascii="Times New Roman" w:hAnsi="Times New Roman"/>
          <w:sz w:val="24"/>
          <w:szCs w:val="24"/>
        </w:rPr>
        <w:t>şeklinde değerlendirme yapılmaktadır.</w:t>
      </w:r>
    </w:p>
    <w:p w:rsidR="00082AB0" w:rsidRPr="0013356B" w:rsidRDefault="00082AB0" w:rsidP="00082AB0">
      <w:pPr>
        <w:pStyle w:val="GvdeMetniGirintisi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3356B">
        <w:rPr>
          <w:rFonts w:ascii="Times New Roman" w:hAnsi="Times New Roman"/>
          <w:sz w:val="24"/>
          <w:szCs w:val="24"/>
        </w:rPr>
        <w:t>i: Ölçülen sonuç belirsizlik aralığının yarısı kadar yukarıya doğru uzatılsa bile üst sınırtın altındadır. Sonuç Uygundur.</w:t>
      </w:r>
    </w:p>
    <w:p w:rsidR="00082AB0" w:rsidRDefault="00082AB0" w:rsidP="00082AB0">
      <w:pPr>
        <w:pStyle w:val="GvdeMetniGirintisi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13356B">
        <w:rPr>
          <w:rFonts w:ascii="Times New Roman" w:hAnsi="Times New Roman"/>
          <w:sz w:val="24"/>
          <w:szCs w:val="24"/>
        </w:rPr>
        <w:t>v: Ölçülen sonuç belirsizlik aralığının yarısı kadar aşağıda doğ</w:t>
      </w:r>
      <w:r>
        <w:rPr>
          <w:rFonts w:ascii="Times New Roman" w:hAnsi="Times New Roman"/>
          <w:sz w:val="24"/>
          <w:szCs w:val="24"/>
        </w:rPr>
        <w:t>ru uzatılsa bile üst sınır</w:t>
      </w:r>
      <w:r w:rsidRPr="0013356B">
        <w:rPr>
          <w:rFonts w:ascii="Times New Roman" w:hAnsi="Times New Roman"/>
          <w:sz w:val="24"/>
          <w:szCs w:val="24"/>
        </w:rPr>
        <w:t>ın üzerindedi</w:t>
      </w:r>
      <w:r>
        <w:rPr>
          <w:rFonts w:ascii="Times New Roman" w:hAnsi="Times New Roman"/>
          <w:sz w:val="24"/>
          <w:szCs w:val="24"/>
        </w:rPr>
        <w:t>r. Sonuç Uygun Değildir</w:t>
      </w:r>
    </w:p>
    <w:p w:rsidR="00082AB0" w:rsidRPr="0013356B" w:rsidRDefault="00082AB0" w:rsidP="00082AB0">
      <w:pPr>
        <w:pStyle w:val="GvdeMetniGirintisi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082AB0" w:rsidRPr="00082AB0" w:rsidRDefault="00082AB0" w:rsidP="00082AB0">
      <w:pPr>
        <w:pStyle w:val="GvdeMetniGirintisi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4ACE">
        <w:rPr>
          <w:rFonts w:ascii="Times New Roman" w:hAnsi="Times New Roman"/>
          <w:b/>
          <w:sz w:val="24"/>
          <w:szCs w:val="24"/>
        </w:rPr>
        <w:t>“ii”</w:t>
      </w:r>
      <w:r w:rsidRPr="0013356B">
        <w:rPr>
          <w:rFonts w:ascii="Times New Roman" w:hAnsi="Times New Roman"/>
          <w:sz w:val="24"/>
          <w:szCs w:val="24"/>
        </w:rPr>
        <w:t xml:space="preserve"> ve </w:t>
      </w:r>
      <w:r w:rsidRPr="001C4ACE">
        <w:rPr>
          <w:rFonts w:ascii="Times New Roman" w:hAnsi="Times New Roman"/>
          <w:b/>
          <w:sz w:val="24"/>
          <w:szCs w:val="24"/>
        </w:rPr>
        <w:t>“iii”</w:t>
      </w:r>
      <w:r w:rsidRPr="0013356B">
        <w:rPr>
          <w:rFonts w:ascii="Times New Roman" w:hAnsi="Times New Roman"/>
          <w:sz w:val="24"/>
          <w:szCs w:val="24"/>
        </w:rPr>
        <w:t xml:space="preserve"> numaralı durumlarda, uygunluğun değerlendirilmesi çok net </w:t>
      </w:r>
      <w:r>
        <w:rPr>
          <w:rFonts w:ascii="Times New Roman" w:hAnsi="Times New Roman"/>
          <w:sz w:val="24"/>
          <w:szCs w:val="24"/>
        </w:rPr>
        <w:t xml:space="preserve">olmadığı için, </w:t>
      </w:r>
      <w:r w:rsidRPr="00540125">
        <w:rPr>
          <w:rFonts w:ascii="Times New Roman" w:hAnsi="Times New Roman"/>
          <w:color w:val="000000"/>
          <w:sz w:val="24"/>
          <w:szCs w:val="24"/>
        </w:rPr>
        <w:t xml:space="preserve">"Uygunluk" veya "Uygunsuzluk" beyan etmek mümkün değildir. Çünkü genişletilmiş ölçüm belirsizliği değerinin yarısı ilave edildiğinde yada çıkarıldığınde ölçüm aralığı limit değeriyle kesişmektedir. </w:t>
      </w:r>
      <w:r w:rsidRPr="00BE5049">
        <w:rPr>
          <w:rFonts w:ascii="Times New Roman" w:hAnsi="Times New Roman"/>
          <w:color w:val="000000" w:themeColor="text1"/>
          <w:sz w:val="24"/>
          <w:szCs w:val="24"/>
        </w:rPr>
        <w:t>Bu durumda laboratuvar tarafından risk alınmayıp ölçüm</w:t>
      </w:r>
      <w:r w:rsidRPr="00540125">
        <w:rPr>
          <w:rFonts w:ascii="Times New Roman" w:hAnsi="Times New Roman"/>
          <w:color w:val="000000"/>
          <w:sz w:val="24"/>
          <w:szCs w:val="24"/>
        </w:rPr>
        <w:t xml:space="preserve"> sonucu ve %95 güven aralığında ne "Uygunluk" ne de "Uygunsuzluk"gösterilemediğini belirten bir ifade ile birlikte bildirilmektedir. Bu durumları kapsayan uygun bir ifade şudur: "UYGUNLUK / UYGUNSUZLUK BELİRTMEK MÜMKÜN DEĞİLDİR."  Şeklinde ifade edilmektedir.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1B70">
        <w:rPr>
          <w:rFonts w:ascii="Times New Roman" w:hAnsi="Times New Roman"/>
          <w:color w:val="000000"/>
          <w:sz w:val="24"/>
          <w:szCs w:val="24"/>
        </w:rPr>
        <w:t xml:space="preserve">Eğer böyle net olmayan durumlar için değerlendirmeye ilişkin müşteri, ilgili mevzuat yada metotlar uygunluk değerlendirmesini zorunlu kılıyor ise </w:t>
      </w:r>
      <w:r>
        <w:rPr>
          <w:color w:val="000000"/>
        </w:rPr>
        <w:t>;</w:t>
      </w:r>
    </w:p>
    <w:p w:rsidR="00082AB0" w:rsidRPr="00951B70" w:rsidRDefault="00082AB0" w:rsidP="00082AB0">
      <w:pPr>
        <w:pStyle w:val="GvdeMetniGirintisi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2AB0" w:rsidRPr="00082AB0" w:rsidRDefault="00082AB0" w:rsidP="00082AB0">
      <w:pPr>
        <w:numPr>
          <w:ilvl w:val="0"/>
          <w:numId w:val="1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AB0">
        <w:rPr>
          <w:rFonts w:ascii="Times New Roman" w:hAnsi="Times New Roman" w:cs="Times New Roman"/>
          <w:b/>
          <w:color w:val="000000"/>
          <w:sz w:val="24"/>
          <w:szCs w:val="24"/>
        </w:rPr>
        <w:t>Kimyasal analizler için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82AB0">
        <w:rPr>
          <w:rFonts w:ascii="Times New Roman" w:hAnsi="Times New Roman" w:cs="Times New Roman"/>
          <w:color w:val="000000"/>
          <w:sz w:val="24"/>
          <w:szCs w:val="24"/>
        </w:rPr>
        <w:t xml:space="preserve"> “Basit Kabul Karar Kuralı kullanılır. Ölçüm belirsizliği değeri dikkate a</w:t>
      </w:r>
      <w:r>
        <w:rPr>
          <w:rFonts w:ascii="Times New Roman" w:hAnsi="Times New Roman" w:cs="Times New Roman"/>
          <w:color w:val="000000"/>
          <w:sz w:val="24"/>
          <w:szCs w:val="24"/>
        </w:rPr>
        <w:t>lın</w:t>
      </w:r>
      <w:r w:rsidRPr="00082AB0">
        <w:rPr>
          <w:rFonts w:ascii="Times New Roman" w:hAnsi="Times New Roman" w:cs="Times New Roman"/>
          <w:color w:val="000000"/>
          <w:sz w:val="24"/>
          <w:szCs w:val="24"/>
        </w:rPr>
        <w:t xml:space="preserve">maksızın direkt olarak sonuç üzerinden değerlendirme yapılır. </w:t>
      </w:r>
    </w:p>
    <w:p w:rsidR="00082AB0" w:rsidRPr="00082AB0" w:rsidRDefault="00082AB0" w:rsidP="00082AB0">
      <w:pPr>
        <w:pStyle w:val="GvdeMetniGirintisi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82AB0" w:rsidRPr="007213BF" w:rsidRDefault="00A53F2F" w:rsidP="00082AB0">
      <w:pPr>
        <w:pStyle w:val="GvdeMetniGirintisi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02FB">
        <w:rPr>
          <w:rFonts w:ascii="Times New Roman" w:hAnsi="Times New Roman"/>
          <w:b/>
          <w:color w:val="000000" w:themeColor="text1"/>
          <w:sz w:val="24"/>
          <w:szCs w:val="24"/>
        </w:rPr>
        <w:t>K</w:t>
      </w:r>
      <w:r w:rsidR="00082AB0" w:rsidRPr="007102FB">
        <w:rPr>
          <w:rFonts w:ascii="Times New Roman" w:hAnsi="Times New Roman"/>
          <w:b/>
          <w:color w:val="000000" w:themeColor="text1"/>
          <w:sz w:val="24"/>
          <w:szCs w:val="24"/>
        </w:rPr>
        <w:t>imyasal analizler için;</w:t>
      </w:r>
      <w:r w:rsidR="00082AB0" w:rsidRPr="007102FB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="00082AB0" w:rsidRPr="00082AB0">
        <w:rPr>
          <w:rFonts w:ascii="Times New Roman" w:hAnsi="Times New Roman"/>
          <w:color w:val="000000"/>
          <w:sz w:val="24"/>
          <w:szCs w:val="24"/>
        </w:rPr>
        <w:t>iğer bir durum analiz sonucunun ölçüm belirsizliği değeri</w:t>
      </w:r>
      <w:r w:rsidR="00082AB0" w:rsidRPr="00130AAF">
        <w:rPr>
          <w:rFonts w:ascii="Times New Roman" w:hAnsi="Times New Roman"/>
          <w:color w:val="000000"/>
          <w:sz w:val="24"/>
          <w:szCs w:val="24"/>
        </w:rPr>
        <w:t xml:space="preserve"> hesaba katılmadan önce limitin tam üzerinde olduğu durumdur. </w:t>
      </w:r>
      <w:r w:rsidR="00082AB0">
        <w:rPr>
          <w:rFonts w:ascii="Times New Roman" w:hAnsi="Times New Roman"/>
          <w:color w:val="000000"/>
          <w:sz w:val="24"/>
          <w:szCs w:val="24"/>
        </w:rPr>
        <w:t xml:space="preserve">Bu durumda herhangi bir güvenilirlik seviyesinde </w:t>
      </w:r>
      <w:r w:rsidR="00082AB0" w:rsidRPr="00001697">
        <w:rPr>
          <w:rFonts w:ascii="Times New Roman" w:hAnsi="Times New Roman"/>
          <w:b/>
          <w:color w:val="000000"/>
          <w:sz w:val="24"/>
          <w:szCs w:val="24"/>
        </w:rPr>
        <w:t>UYGUNLUK</w:t>
      </w:r>
      <w:r w:rsidR="00082AB0">
        <w:rPr>
          <w:rFonts w:ascii="Times New Roman" w:hAnsi="Times New Roman"/>
          <w:color w:val="000000"/>
          <w:sz w:val="24"/>
          <w:szCs w:val="24"/>
        </w:rPr>
        <w:t xml:space="preserve"> veya </w:t>
      </w:r>
      <w:r w:rsidR="00082AB0" w:rsidRPr="00001697">
        <w:rPr>
          <w:rFonts w:ascii="Times New Roman" w:hAnsi="Times New Roman"/>
          <w:b/>
          <w:color w:val="000000"/>
          <w:sz w:val="24"/>
          <w:szCs w:val="24"/>
        </w:rPr>
        <w:t>UYGUNSUZLUK Belirtilmemektedir</w:t>
      </w:r>
      <w:r w:rsidR="00082AB0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82AB0" w:rsidRDefault="00082AB0" w:rsidP="00082AB0">
      <w:pPr>
        <w:pStyle w:val="GvdeMetniGirintisi"/>
        <w:spacing w:line="36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777F">
        <w:rPr>
          <w:rFonts w:ascii="Times New Roman" w:hAnsi="Times New Roman"/>
          <w:b/>
          <w:color w:val="000000"/>
          <w:sz w:val="24"/>
          <w:szCs w:val="24"/>
        </w:rPr>
        <w:drawing>
          <wp:inline distT="0" distB="0" distL="0" distR="0">
            <wp:extent cx="1333500" cy="1276350"/>
            <wp:effectExtent l="19050" t="19050" r="19050" b="19050"/>
            <wp:docPr id="1" name="Resim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76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2A94" w:rsidRDefault="00082AB0" w:rsidP="00082AB0">
      <w:pPr>
        <w:pStyle w:val="GvdeMetniGirintisi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Şekil 2: 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Genişletilmiş Belirsizlik değeri hesaba katılmadan önce Analiz sonucunun limit değer üzerinde olduğu durum </w:t>
      </w:r>
      <w:bookmarkStart w:id="0" w:name="_GoBack"/>
      <w:bookmarkEnd w:id="0"/>
    </w:p>
    <w:p w:rsidR="00082AB0" w:rsidRPr="00082AB0" w:rsidRDefault="00082AB0" w:rsidP="00082AB0">
      <w:pPr>
        <w:pStyle w:val="GvdeMetniGirintisi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Ancak </w:t>
      </w:r>
      <w:r w:rsidRPr="0013356B">
        <w:rPr>
          <w:rFonts w:ascii="Times New Roman" w:hAnsi="Times New Roman"/>
          <w:color w:val="000000"/>
          <w:sz w:val="24"/>
          <w:szCs w:val="24"/>
        </w:rPr>
        <w:t>Madde c’de tanımlana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13356B">
        <w:rPr>
          <w:rFonts w:ascii="Times New Roman" w:hAnsi="Times New Roman"/>
          <w:color w:val="000000"/>
          <w:sz w:val="24"/>
          <w:szCs w:val="24"/>
        </w:rPr>
        <w:t xml:space="preserve"> durum için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Pr="000734FC">
        <w:rPr>
          <w:rFonts w:ascii="Times New Roman" w:hAnsi="Times New Roman"/>
          <w:color w:val="000000"/>
          <w:sz w:val="24"/>
          <w:szCs w:val="24"/>
        </w:rPr>
        <w:t>ğer güvenilirlik seviyesine bakılmaksızın bir karar vermek zorunlu ise</w:t>
      </w:r>
      <w:r w:rsidRPr="0013356B">
        <w:rPr>
          <w:rFonts w:ascii="Times New Roman" w:hAnsi="Times New Roman"/>
          <w:color w:val="000000"/>
          <w:sz w:val="24"/>
          <w:szCs w:val="24"/>
        </w:rPr>
        <w:t xml:space="preserve"> iki farklı değerlendirme sözkonusudur.</w:t>
      </w:r>
    </w:p>
    <w:p w:rsidR="00082AB0" w:rsidRPr="00A53F2F" w:rsidRDefault="00082AB0" w:rsidP="00A53F2F">
      <w:pPr>
        <w:pStyle w:val="GvdeMetniGirintisi"/>
        <w:numPr>
          <w:ilvl w:val="0"/>
          <w:numId w:val="8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Üst Limit sınırı olan analizler için:</w:t>
      </w:r>
    </w:p>
    <w:p w:rsidR="00082AB0" w:rsidRPr="004D6179" w:rsidRDefault="00082AB0" w:rsidP="00A53F2F">
      <w:pPr>
        <w:pStyle w:val="GvdeMetniGirintisi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ğer istenen:  Ölçülen değer ≤ üst sınır ise </w:t>
      </w:r>
      <w:r w:rsidRPr="00130AAF">
        <w:rPr>
          <w:rFonts w:ascii="Times New Roman" w:hAnsi="Times New Roman"/>
          <w:b/>
          <w:color w:val="000000"/>
          <w:sz w:val="24"/>
          <w:szCs w:val="24"/>
        </w:rPr>
        <w:t>UYGUN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 şeklinde,</w:t>
      </w:r>
    </w:p>
    <w:p w:rsidR="00082AB0" w:rsidRPr="00A53F2F" w:rsidRDefault="00082AB0" w:rsidP="00A53F2F">
      <w:pPr>
        <w:pStyle w:val="GvdeMetniGirintisi"/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734FC">
        <w:rPr>
          <w:rFonts w:ascii="Times New Roman" w:hAnsi="Times New Roman"/>
          <w:color w:val="000000"/>
          <w:sz w:val="24"/>
          <w:szCs w:val="24"/>
        </w:rPr>
        <w:t xml:space="preserve">Eğer istenen : Ölçülen değer </w:t>
      </w:r>
      <w:r>
        <w:rPr>
          <w:rFonts w:ascii="Times New Roman" w:hAnsi="Times New Roman"/>
          <w:color w:val="000000"/>
          <w:sz w:val="24"/>
          <w:szCs w:val="24"/>
        </w:rPr>
        <w:t>&gt;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 Üst sınır ise </w:t>
      </w:r>
      <w:r w:rsidRPr="00130AAF">
        <w:rPr>
          <w:rFonts w:ascii="Times New Roman" w:hAnsi="Times New Roman"/>
          <w:b/>
          <w:color w:val="000000"/>
          <w:sz w:val="24"/>
          <w:szCs w:val="24"/>
        </w:rPr>
        <w:t>UYGUN DEĞİL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 şeklinde değerlendirme yapılır.</w:t>
      </w:r>
    </w:p>
    <w:p w:rsidR="00082AB0" w:rsidRPr="00A53F2F" w:rsidRDefault="00082AB0" w:rsidP="00A53F2F">
      <w:pPr>
        <w:pStyle w:val="GvdeMetniGirintisi"/>
        <w:numPr>
          <w:ilvl w:val="0"/>
          <w:numId w:val="8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Alt Limit Sınırı Olan analizler için:</w:t>
      </w:r>
    </w:p>
    <w:p w:rsidR="00082AB0" w:rsidRPr="004D6179" w:rsidRDefault="00082AB0" w:rsidP="00082AB0">
      <w:pPr>
        <w:pStyle w:val="GvdeMetniGirintisi"/>
        <w:numPr>
          <w:ilvl w:val="0"/>
          <w:numId w:val="9"/>
        </w:numPr>
        <w:spacing w:line="36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0734FC">
        <w:rPr>
          <w:rFonts w:ascii="Times New Roman" w:hAnsi="Times New Roman"/>
          <w:color w:val="000000"/>
          <w:sz w:val="24"/>
          <w:szCs w:val="24"/>
        </w:rPr>
        <w:t xml:space="preserve">Eğer güvenilirlik seviyesine bakılmaksızın bir karar vermek zorunlu ise eğer istenen:  Ölçülen değer ≥ alt sınır ise </w:t>
      </w:r>
      <w:r w:rsidRPr="001C4ACE">
        <w:rPr>
          <w:rFonts w:ascii="Times New Roman" w:hAnsi="Times New Roman"/>
          <w:b/>
          <w:color w:val="000000"/>
          <w:sz w:val="24"/>
          <w:szCs w:val="24"/>
        </w:rPr>
        <w:t xml:space="preserve">UYGUN </w:t>
      </w:r>
      <w:r w:rsidRPr="000734FC">
        <w:rPr>
          <w:rFonts w:ascii="Times New Roman" w:hAnsi="Times New Roman"/>
          <w:color w:val="000000"/>
          <w:sz w:val="24"/>
          <w:szCs w:val="24"/>
        </w:rPr>
        <w:t>şeklinde,</w:t>
      </w:r>
    </w:p>
    <w:p w:rsidR="00082AB0" w:rsidRPr="00082AB0" w:rsidRDefault="00082AB0" w:rsidP="00082AB0">
      <w:pPr>
        <w:pStyle w:val="GvdeMetniGirintisi"/>
        <w:numPr>
          <w:ilvl w:val="0"/>
          <w:numId w:val="9"/>
        </w:numPr>
        <w:spacing w:line="360" w:lineRule="auto"/>
        <w:ind w:left="1440"/>
        <w:rPr>
          <w:rFonts w:ascii="Times New Roman" w:hAnsi="Times New Roman"/>
          <w:color w:val="000000"/>
          <w:sz w:val="24"/>
          <w:szCs w:val="24"/>
        </w:rPr>
      </w:pPr>
      <w:r w:rsidRPr="000734FC">
        <w:rPr>
          <w:rFonts w:ascii="Times New Roman" w:hAnsi="Times New Roman"/>
          <w:color w:val="000000"/>
          <w:sz w:val="24"/>
          <w:szCs w:val="24"/>
        </w:rPr>
        <w:t xml:space="preserve">Eğer istenen : Ölçülen değer </w:t>
      </w:r>
      <w:r>
        <w:rPr>
          <w:rFonts w:ascii="Times New Roman" w:hAnsi="Times New Roman"/>
          <w:color w:val="000000"/>
          <w:sz w:val="24"/>
          <w:szCs w:val="24"/>
        </w:rPr>
        <w:t>&lt;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 Alt  sınır ise </w:t>
      </w:r>
      <w:r w:rsidRPr="001C4ACE">
        <w:rPr>
          <w:rFonts w:ascii="Times New Roman" w:hAnsi="Times New Roman"/>
          <w:b/>
          <w:color w:val="000000"/>
          <w:sz w:val="24"/>
          <w:szCs w:val="24"/>
        </w:rPr>
        <w:t>UYGUN DEĞİL</w:t>
      </w:r>
      <w:r w:rsidRPr="000734FC">
        <w:rPr>
          <w:rFonts w:ascii="Times New Roman" w:hAnsi="Times New Roman"/>
          <w:color w:val="000000"/>
          <w:sz w:val="24"/>
          <w:szCs w:val="24"/>
        </w:rPr>
        <w:t xml:space="preserve"> şeklinde değerlendirme yapılır.</w:t>
      </w:r>
    </w:p>
    <w:p w:rsidR="003C4573" w:rsidRDefault="00082AB0" w:rsidP="00082AB0">
      <w:pPr>
        <w:pStyle w:val="GvdeMetniGirintisi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ve 2’de belirtilen durumlar için  </w:t>
      </w:r>
      <w:r w:rsidRPr="00C35E83">
        <w:rPr>
          <w:rFonts w:ascii="Times New Roman" w:hAnsi="Times New Roman"/>
          <w:color w:val="000000"/>
          <w:sz w:val="24"/>
          <w:szCs w:val="24"/>
        </w:rPr>
        <w:t>değerlendirmeye ilişkin bir zorunluluk yok ise değerlendirme yapılmaz.</w:t>
      </w:r>
    </w:p>
    <w:p w:rsidR="00C15E10" w:rsidRPr="00EA5D38" w:rsidRDefault="00000726" w:rsidP="00EA5D38">
      <w:pPr>
        <w:pStyle w:val="GvdeMetniGirintisi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00726">
        <w:rPr>
          <w:rFonts w:ascii="Times New Roman" w:hAnsi="Times New Roman"/>
          <w:sz w:val="24"/>
          <w:szCs w:val="24"/>
        </w:rPr>
        <w:t>İlgili Analizler için ölçüm belirsizliği değerinin nasıl kullanılacağına dair açıklanan Karar Kural</w:t>
      </w:r>
      <w:r w:rsidR="003C4573">
        <w:rPr>
          <w:rFonts w:ascii="Times New Roman" w:hAnsi="Times New Roman"/>
          <w:sz w:val="24"/>
          <w:szCs w:val="24"/>
        </w:rPr>
        <w:t>ı ATB’de oluşabilecek riskler d</w:t>
      </w:r>
      <w:r w:rsidRPr="00000726">
        <w:rPr>
          <w:rFonts w:ascii="Times New Roman" w:hAnsi="Times New Roman"/>
          <w:sz w:val="24"/>
          <w:szCs w:val="24"/>
        </w:rPr>
        <w:t>ikkate alınarak belirlenmiştir.</w:t>
      </w:r>
    </w:p>
    <w:p w:rsidR="00001697" w:rsidRPr="009861AF" w:rsidRDefault="00000726" w:rsidP="00001697">
      <w:pPr>
        <w:pStyle w:val="GvdeMetniGirintisi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000726">
        <w:rPr>
          <w:rFonts w:ascii="Times New Roman" w:hAnsi="Times New Roman"/>
          <w:sz w:val="24"/>
          <w:szCs w:val="24"/>
        </w:rPr>
        <w:t xml:space="preserve">Tanımlanan durumlar için </w:t>
      </w:r>
      <w:r w:rsidR="00001697">
        <w:rPr>
          <w:rFonts w:ascii="Times New Roman" w:hAnsi="Times New Roman"/>
          <w:sz w:val="24"/>
          <w:szCs w:val="24"/>
        </w:rPr>
        <w:t xml:space="preserve">ATB tarafından beyan edilen </w:t>
      </w:r>
      <w:r w:rsidRPr="00000726">
        <w:rPr>
          <w:rFonts w:ascii="Times New Roman" w:hAnsi="Times New Roman"/>
          <w:sz w:val="24"/>
          <w:szCs w:val="24"/>
        </w:rPr>
        <w:t>KARAR Kuralının tarafınızc</w:t>
      </w:r>
      <w:r w:rsidR="00001697">
        <w:rPr>
          <w:rFonts w:ascii="Times New Roman" w:hAnsi="Times New Roman"/>
          <w:sz w:val="24"/>
          <w:szCs w:val="24"/>
        </w:rPr>
        <w:t>a onaylanması halinde değerlend</w:t>
      </w:r>
      <w:r w:rsidRPr="00000726">
        <w:rPr>
          <w:rFonts w:ascii="Times New Roman" w:hAnsi="Times New Roman"/>
          <w:sz w:val="24"/>
          <w:szCs w:val="24"/>
        </w:rPr>
        <w:t>irmede kullanılacaktır.</w:t>
      </w:r>
      <w:r w:rsidR="009861AF" w:rsidRPr="009861AF">
        <w:rPr>
          <w:rFonts w:ascii="Times New Roman" w:hAnsi="Times New Roman"/>
          <w:b/>
          <w:color w:val="FF0000"/>
          <w:sz w:val="24"/>
          <w:szCs w:val="24"/>
          <w:u w:val="single"/>
        </w:rPr>
        <w:t>Numune ve analiz türüne göre uygulanacak Karar kuralı seçeneklerinden anlaşmaya varılan kural aşağıdaki tabloda işaretlenerek hem müşteri hem de Laboratuvar tarafından onaylanmalıdır.</w:t>
      </w:r>
      <w:r w:rsidR="00741423">
        <w:rPr>
          <w:rFonts w:ascii="Times New Roman" w:hAnsi="Times New Roman"/>
          <w:b/>
          <w:color w:val="FF0000"/>
          <w:sz w:val="24"/>
          <w:szCs w:val="24"/>
          <w:u w:val="single"/>
        </w:rPr>
        <w:t>Ayı numunede farklı analizler için farklı kurallar uygulanacak ise formda analiz türüne göre işaret</w:t>
      </w:r>
      <w:r w:rsidR="00E55E1F">
        <w:rPr>
          <w:rFonts w:ascii="Times New Roman" w:hAnsi="Times New Roman"/>
          <w:b/>
          <w:color w:val="FF0000"/>
          <w:sz w:val="24"/>
          <w:szCs w:val="24"/>
          <w:u w:val="single"/>
        </w:rPr>
        <w:t>leme yapılacaktır.</w:t>
      </w:r>
    </w:p>
    <w:p w:rsidR="00001697" w:rsidRDefault="00001697" w:rsidP="00A53F2F">
      <w:pPr>
        <w:pStyle w:val="GvdeMetniGirintisi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Aksi durumda Uygunluk Değerlendirmesi yapılmayacaktır.</w:t>
      </w: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7797"/>
        <w:gridCol w:w="1984"/>
      </w:tblGrid>
      <w:tr w:rsidR="009861AF" w:rsidTr="009861AF">
        <w:trPr>
          <w:trHeight w:val="646"/>
        </w:trPr>
        <w:tc>
          <w:tcPr>
            <w:tcW w:w="9781" w:type="dxa"/>
            <w:gridSpan w:val="2"/>
          </w:tcPr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lastRenderedPageBreak/>
              <w:t xml:space="preserve">Numune için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Uygunluk Değerlendirmesinde 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Uygula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nacak Karar Kuralı </w:t>
            </w:r>
          </w:p>
        </w:tc>
      </w:tr>
      <w:tr w:rsidR="009861AF" w:rsidTr="009861AF">
        <w:trPr>
          <w:trHeight w:val="697"/>
        </w:trPr>
        <w:tc>
          <w:tcPr>
            <w:tcW w:w="7797" w:type="dxa"/>
          </w:tcPr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Müşteri tarafından önerilen 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Karar 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Kural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ı (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Var ise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)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:</w:t>
            </w:r>
          </w:p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210185</wp:posOffset>
                      </wp:positionV>
                      <wp:extent cx="542925" cy="3714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3B31FF" id="Dikdörtgen 3" o:spid="_x0000_s1026" style="position:absolute;margin-left:16.45pt;margin-top:16.55pt;width:42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</w:tr>
      <w:tr w:rsidR="009861AF" w:rsidTr="00741423">
        <w:trPr>
          <w:trHeight w:val="1888"/>
        </w:trPr>
        <w:tc>
          <w:tcPr>
            <w:tcW w:w="7797" w:type="dxa"/>
          </w:tcPr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Kimyasal Analiz:  Basit Kabul Karar Kuralı</w:t>
            </w:r>
          </w:p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(Ölçüm Belirsizliği dikkate alınmadan sonuç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limit ile karşılaştırılacaktır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E55E1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55E1F" w:rsidRPr="009861A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98D80C" wp14:editId="25A5488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219075</wp:posOffset>
                      </wp:positionV>
                      <wp:extent cx="542925" cy="3714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28288" id="Dikdörtgen 4" o:spid="_x0000_s1026" style="position:absolute;margin-left:17.9pt;margin-top:17.25pt;width:42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1AF" w:rsidTr="00741423">
        <w:trPr>
          <w:trHeight w:val="1843"/>
        </w:trPr>
        <w:tc>
          <w:tcPr>
            <w:tcW w:w="7797" w:type="dxa"/>
          </w:tcPr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Mikotoksin Analizi-Özel</w:t>
            </w:r>
          </w:p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Müşteri lehine- Ölçüm Belirsizliği değeri deney sonucundan çıkarılarak bulunan değer Limit ile karşılaştırılacaktır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E55E1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55E1F" w:rsidRPr="009861A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98D80C" wp14:editId="25A5488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353695</wp:posOffset>
                      </wp:positionV>
                      <wp:extent cx="542925" cy="3714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C53946" id="Dikdörtgen 5" o:spid="_x0000_s1026" style="position:absolute;margin-left:20.15pt;margin-top:27.85pt;width:42.7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" fillcolor="white [3201]" strokecolor="black [3200]" strokeweight="1pt"/>
                  </w:pict>
                </mc:Fallback>
              </mc:AlternateContent>
            </w:r>
          </w:p>
        </w:tc>
      </w:tr>
      <w:tr w:rsidR="009861AF" w:rsidTr="009861AF">
        <w:trPr>
          <w:trHeight w:val="992"/>
        </w:trPr>
        <w:tc>
          <w:tcPr>
            <w:tcW w:w="7797" w:type="dxa"/>
          </w:tcPr>
          <w:p w:rsidR="009861AF" w:rsidRP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Mikotoksin Analizi-</w:t>
            </w: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İthalat</w:t>
            </w:r>
          </w:p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861A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Müşteri lehine- Ölçüm Belirsizliği değeri deney sonucundan çıkarılarak bulunan değer Limit ile karşılaştırılacaktır</w:t>
            </w:r>
            <w:r w:rsidR="00E55E1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E55E1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E55E1F" w:rsidRPr="009861AF" w:rsidRDefault="00E55E1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9861AF" w:rsidRDefault="009861AF" w:rsidP="009861AF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8D80C" wp14:editId="25A5488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226060</wp:posOffset>
                      </wp:positionV>
                      <wp:extent cx="542925" cy="3714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9D01D" id="Dikdörtgen 6" o:spid="_x0000_s1026" style="position:absolute;margin-left:20.15pt;margin-top:17.8pt;width:42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</w:tr>
    </w:tbl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861AF" w:rsidRPr="00A53F2F" w:rsidRDefault="009861AF" w:rsidP="009861AF">
      <w:pPr>
        <w:pStyle w:val="GvdeMetniGirintisi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Analiz </w:t>
      </w:r>
    </w:p>
    <w:tbl>
      <w:tblPr>
        <w:tblStyle w:val="TabloKlavuzu"/>
        <w:tblW w:w="9917" w:type="dxa"/>
        <w:tblLook w:val="04A0" w:firstRow="1" w:lastRow="0" w:firstColumn="1" w:lastColumn="0" w:noHBand="0" w:noVBand="1"/>
      </w:tblPr>
      <w:tblGrid>
        <w:gridCol w:w="4958"/>
        <w:gridCol w:w="4959"/>
      </w:tblGrid>
      <w:tr w:rsidR="00001697" w:rsidTr="00A53F2F">
        <w:trPr>
          <w:trHeight w:val="1156"/>
        </w:trPr>
        <w:tc>
          <w:tcPr>
            <w:tcW w:w="4958" w:type="dxa"/>
          </w:tcPr>
          <w:p w:rsidR="00001697" w:rsidRDefault="00001697" w:rsidP="00000726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Müşteri Onayı / Tarih</w:t>
            </w:r>
            <w:r w:rsidR="00593CF5">
              <w:rPr>
                <w:rFonts w:ascii="Times New Roman" w:hAnsi="Times New Roman"/>
                <w:sz w:val="24"/>
                <w:szCs w:val="24"/>
              </w:rPr>
              <w:t xml:space="preserve"> / İmza</w:t>
            </w:r>
          </w:p>
          <w:p w:rsidR="00001697" w:rsidRDefault="00001697" w:rsidP="00000726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001697" w:rsidRDefault="00001697" w:rsidP="00000726">
            <w:pPr>
              <w:pStyle w:val="GvdeMetniGirintisi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ATB Onayı</w:t>
            </w:r>
            <w:r w:rsidR="00593CF5">
              <w:rPr>
                <w:rFonts w:ascii="Times New Roman" w:hAnsi="Times New Roman"/>
                <w:sz w:val="24"/>
                <w:szCs w:val="24"/>
              </w:rPr>
              <w:t xml:space="preserve"> / Tarih / İmza</w:t>
            </w:r>
          </w:p>
        </w:tc>
      </w:tr>
    </w:tbl>
    <w:p w:rsidR="00000726" w:rsidRDefault="00000726" w:rsidP="00E030E8">
      <w:pPr>
        <w:pStyle w:val="GvdeMetniGirintisi"/>
        <w:ind w:left="0"/>
        <w:jc w:val="both"/>
      </w:pPr>
    </w:p>
    <w:sectPr w:rsidR="00000726" w:rsidSect="00000726">
      <w:headerReference w:type="default" r:id="rId10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58" w:rsidRDefault="00F86458" w:rsidP="00000726">
      <w:pPr>
        <w:spacing w:after="0" w:line="240" w:lineRule="auto"/>
      </w:pPr>
      <w:r>
        <w:separator/>
      </w:r>
    </w:p>
  </w:endnote>
  <w:endnote w:type="continuationSeparator" w:id="0">
    <w:p w:rsidR="00F86458" w:rsidRDefault="00F86458" w:rsidP="0000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58" w:rsidRDefault="00F86458" w:rsidP="00000726">
      <w:pPr>
        <w:spacing w:after="0" w:line="240" w:lineRule="auto"/>
      </w:pPr>
      <w:r>
        <w:separator/>
      </w:r>
    </w:p>
  </w:footnote>
  <w:footnote w:type="continuationSeparator" w:id="0">
    <w:p w:rsidR="00F86458" w:rsidRDefault="00F86458" w:rsidP="0000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9"/>
      <w:gridCol w:w="4884"/>
      <w:gridCol w:w="3608"/>
    </w:tblGrid>
    <w:tr w:rsidR="00000726" w:rsidTr="00001697">
      <w:trPr>
        <w:cantSplit/>
        <w:trHeight w:val="315"/>
      </w:trPr>
      <w:tc>
        <w:tcPr>
          <w:tcW w:w="1489" w:type="dxa"/>
          <w:vMerge w:val="restart"/>
          <w:vAlign w:val="center"/>
        </w:tcPr>
        <w:p w:rsidR="00000726" w:rsidRDefault="00000726" w:rsidP="00000726"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0" t="0" r="0" b="0"/>
                <wp:docPr id="16" name="Resim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4" w:type="dxa"/>
          <w:vMerge w:val="restart"/>
          <w:vAlign w:val="center"/>
        </w:tcPr>
        <w:p w:rsidR="00000726" w:rsidRPr="00000726" w:rsidRDefault="00000726" w:rsidP="00000726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r w:rsidRPr="00000726">
            <w:rPr>
              <w:rFonts w:ascii="Times New Roman" w:hAnsi="Times New Roman" w:cs="Times New Roman"/>
              <w:b/>
            </w:rPr>
            <w:t xml:space="preserve">KARAR </w:t>
          </w:r>
          <w:proofErr w:type="gramStart"/>
          <w:r w:rsidRPr="00000726">
            <w:rPr>
              <w:rFonts w:ascii="Times New Roman" w:hAnsi="Times New Roman" w:cs="Times New Roman"/>
              <w:b/>
            </w:rPr>
            <w:t>KURALI</w:t>
          </w:r>
          <w:r>
            <w:rPr>
              <w:rFonts w:ascii="Times New Roman" w:hAnsi="Times New Roman" w:cs="Times New Roman"/>
              <w:b/>
            </w:rPr>
            <w:t xml:space="preserve">  BİLDİRİM</w:t>
          </w:r>
          <w:proofErr w:type="gramEnd"/>
          <w:r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3608" w:type="dxa"/>
        </w:tcPr>
        <w:p w:rsidR="00000726" w:rsidRPr="00000726" w:rsidRDefault="00000726" w:rsidP="009F0428">
          <w:pPr>
            <w:spacing w:after="0" w:line="240" w:lineRule="auto"/>
            <w:rPr>
              <w:rFonts w:ascii="Times New Roman" w:hAnsi="Times New Roman" w:cs="Times New Roman"/>
            </w:rPr>
          </w:pPr>
          <w:r w:rsidRPr="00000726">
            <w:rPr>
              <w:rFonts w:ascii="Times New Roman" w:hAnsi="Times New Roman" w:cs="Times New Roman"/>
            </w:rPr>
            <w:t xml:space="preserve">Dokuman No: </w:t>
          </w:r>
          <w:proofErr w:type="gramStart"/>
          <w:r w:rsidRPr="00000726">
            <w:rPr>
              <w:rFonts w:ascii="Times New Roman" w:hAnsi="Times New Roman" w:cs="Times New Roman"/>
            </w:rPr>
            <w:t>ATB.</w:t>
          </w:r>
          <w:r>
            <w:rPr>
              <w:rFonts w:ascii="Times New Roman" w:hAnsi="Times New Roman" w:cs="Times New Roman"/>
            </w:rPr>
            <w:t>F</w:t>
          </w:r>
          <w:proofErr w:type="gramEnd"/>
          <w:r>
            <w:rPr>
              <w:rFonts w:ascii="Times New Roman" w:hAnsi="Times New Roman" w:cs="Times New Roman"/>
            </w:rPr>
            <w:t>.</w:t>
          </w:r>
          <w:r w:rsidRPr="00000726">
            <w:rPr>
              <w:rFonts w:ascii="Times New Roman" w:hAnsi="Times New Roman" w:cs="Times New Roman"/>
            </w:rPr>
            <w:t>T.Pr.</w:t>
          </w:r>
          <w:r w:rsidR="009F0428">
            <w:rPr>
              <w:rFonts w:ascii="Times New Roman" w:hAnsi="Times New Roman" w:cs="Times New Roman"/>
            </w:rPr>
            <w:t>20</w:t>
          </w:r>
          <w:r w:rsidRPr="00000726">
            <w:rPr>
              <w:rFonts w:ascii="Times New Roman" w:hAnsi="Times New Roman" w:cs="Times New Roman"/>
            </w:rPr>
            <w:t>.01</w:t>
          </w:r>
          <w:r>
            <w:rPr>
              <w:rFonts w:ascii="Times New Roman" w:hAnsi="Times New Roman" w:cs="Times New Roman"/>
            </w:rPr>
            <w:t>.01</w:t>
          </w:r>
        </w:p>
      </w:tc>
    </w:tr>
    <w:tr w:rsidR="00000726" w:rsidTr="00001697">
      <w:trPr>
        <w:cantSplit/>
        <w:trHeight w:val="315"/>
      </w:trPr>
      <w:tc>
        <w:tcPr>
          <w:tcW w:w="1489" w:type="dxa"/>
          <w:vMerge/>
        </w:tcPr>
        <w:p w:rsidR="00000726" w:rsidRDefault="00000726" w:rsidP="00000726"/>
      </w:tc>
      <w:tc>
        <w:tcPr>
          <w:tcW w:w="4884" w:type="dxa"/>
          <w:vMerge/>
        </w:tcPr>
        <w:p w:rsidR="00000726" w:rsidRPr="00000726" w:rsidRDefault="00000726" w:rsidP="00000726">
          <w:pPr>
            <w:rPr>
              <w:rFonts w:ascii="Times New Roman" w:hAnsi="Times New Roman" w:cs="Times New Roman"/>
            </w:rPr>
          </w:pPr>
        </w:p>
      </w:tc>
      <w:tc>
        <w:tcPr>
          <w:tcW w:w="3608" w:type="dxa"/>
        </w:tcPr>
        <w:p w:rsidR="00000726" w:rsidRPr="00000726" w:rsidRDefault="00000726" w:rsidP="00000726">
          <w:pPr>
            <w:spacing w:after="0" w:line="240" w:lineRule="auto"/>
            <w:rPr>
              <w:rFonts w:ascii="Times New Roman" w:hAnsi="Times New Roman" w:cs="Times New Roman"/>
            </w:rPr>
          </w:pPr>
          <w:r w:rsidRPr="00000726">
            <w:rPr>
              <w:rFonts w:ascii="Times New Roman" w:hAnsi="Times New Roman" w:cs="Times New Roman"/>
            </w:rPr>
            <w:t>Yayın Tarihi:26/07/2018</w:t>
          </w:r>
        </w:p>
      </w:tc>
    </w:tr>
    <w:tr w:rsidR="00000726" w:rsidTr="00001697">
      <w:trPr>
        <w:cantSplit/>
        <w:trHeight w:val="315"/>
      </w:trPr>
      <w:tc>
        <w:tcPr>
          <w:tcW w:w="1489" w:type="dxa"/>
          <w:vMerge/>
        </w:tcPr>
        <w:p w:rsidR="00000726" w:rsidRDefault="00000726" w:rsidP="00000726"/>
      </w:tc>
      <w:tc>
        <w:tcPr>
          <w:tcW w:w="4884" w:type="dxa"/>
          <w:vMerge/>
        </w:tcPr>
        <w:p w:rsidR="00000726" w:rsidRPr="00000726" w:rsidRDefault="00000726" w:rsidP="00000726">
          <w:pPr>
            <w:rPr>
              <w:rFonts w:ascii="Times New Roman" w:hAnsi="Times New Roman" w:cs="Times New Roman"/>
            </w:rPr>
          </w:pPr>
        </w:p>
      </w:tc>
      <w:tc>
        <w:tcPr>
          <w:tcW w:w="3608" w:type="dxa"/>
        </w:tcPr>
        <w:p w:rsidR="00000726" w:rsidRPr="00000726" w:rsidRDefault="00000726" w:rsidP="00E55E1F">
          <w:pPr>
            <w:spacing w:after="0" w:line="240" w:lineRule="auto"/>
            <w:rPr>
              <w:rFonts w:ascii="Times New Roman" w:hAnsi="Times New Roman" w:cs="Times New Roman"/>
            </w:rPr>
          </w:pPr>
          <w:r w:rsidRPr="00000726">
            <w:rPr>
              <w:rFonts w:ascii="Times New Roman" w:hAnsi="Times New Roman" w:cs="Times New Roman"/>
            </w:rPr>
            <w:t xml:space="preserve">Revizyon No/ Tarih: </w:t>
          </w:r>
          <w:r w:rsidRPr="00000726">
            <w:rPr>
              <w:rFonts w:ascii="Times New Roman" w:hAnsi="Times New Roman" w:cs="Times New Roman"/>
              <w:color w:val="000000"/>
            </w:rPr>
            <w:t>0</w:t>
          </w:r>
          <w:r w:rsidR="00E55E1F">
            <w:rPr>
              <w:rFonts w:ascii="Times New Roman" w:hAnsi="Times New Roman" w:cs="Times New Roman"/>
              <w:color w:val="000000"/>
            </w:rPr>
            <w:t>8</w:t>
          </w:r>
          <w:r w:rsidR="008822E4">
            <w:rPr>
              <w:rFonts w:ascii="Times New Roman" w:hAnsi="Times New Roman" w:cs="Times New Roman"/>
              <w:color w:val="000000"/>
            </w:rPr>
            <w:t>/</w:t>
          </w:r>
          <w:r w:rsidR="00E55E1F">
            <w:rPr>
              <w:rFonts w:ascii="Times New Roman" w:hAnsi="Times New Roman" w:cs="Times New Roman"/>
              <w:color w:val="000000"/>
            </w:rPr>
            <w:t>17.04.2026</w:t>
          </w:r>
        </w:p>
      </w:tc>
    </w:tr>
    <w:tr w:rsidR="00000726" w:rsidTr="00001697">
      <w:trPr>
        <w:cantSplit/>
        <w:trHeight w:val="316"/>
      </w:trPr>
      <w:tc>
        <w:tcPr>
          <w:tcW w:w="1489" w:type="dxa"/>
          <w:vMerge/>
        </w:tcPr>
        <w:p w:rsidR="00000726" w:rsidRDefault="00000726" w:rsidP="00000726"/>
      </w:tc>
      <w:tc>
        <w:tcPr>
          <w:tcW w:w="4884" w:type="dxa"/>
          <w:vMerge/>
        </w:tcPr>
        <w:p w:rsidR="00000726" w:rsidRPr="00000726" w:rsidRDefault="00000726" w:rsidP="00000726">
          <w:pPr>
            <w:rPr>
              <w:rFonts w:ascii="Times New Roman" w:hAnsi="Times New Roman" w:cs="Times New Roman"/>
            </w:rPr>
          </w:pPr>
        </w:p>
      </w:tc>
      <w:tc>
        <w:tcPr>
          <w:tcW w:w="3608" w:type="dxa"/>
        </w:tcPr>
        <w:p w:rsidR="00000726" w:rsidRPr="00000726" w:rsidRDefault="00000726" w:rsidP="00000726">
          <w:pPr>
            <w:spacing w:after="0" w:line="240" w:lineRule="auto"/>
            <w:rPr>
              <w:rFonts w:ascii="Times New Roman" w:hAnsi="Times New Roman" w:cs="Times New Roman"/>
            </w:rPr>
          </w:pPr>
          <w:r w:rsidRPr="00000726">
            <w:rPr>
              <w:rFonts w:ascii="Times New Roman" w:hAnsi="Times New Roman" w:cs="Times New Roman"/>
            </w:rPr>
            <w:t xml:space="preserve">Sayfa/Toplam Sayfa:  </w:t>
          </w:r>
          <w:r w:rsidRPr="00000726">
            <w:rPr>
              <w:rFonts w:ascii="Times New Roman" w:hAnsi="Times New Roman" w:cs="Times New Roman"/>
              <w:bCs/>
            </w:rPr>
            <w:fldChar w:fldCharType="begin"/>
          </w:r>
          <w:r w:rsidRPr="00000726">
            <w:rPr>
              <w:rFonts w:ascii="Times New Roman" w:hAnsi="Times New Roman" w:cs="Times New Roman"/>
              <w:bCs/>
            </w:rPr>
            <w:instrText>PAGE  \* Arabic  \* MERGEFORMAT</w:instrText>
          </w:r>
          <w:r w:rsidRPr="00000726">
            <w:rPr>
              <w:rFonts w:ascii="Times New Roman" w:hAnsi="Times New Roman" w:cs="Times New Roman"/>
              <w:bCs/>
            </w:rPr>
            <w:fldChar w:fldCharType="separate"/>
          </w:r>
          <w:r w:rsidR="00764E69">
            <w:rPr>
              <w:rFonts w:ascii="Times New Roman" w:hAnsi="Times New Roman" w:cs="Times New Roman"/>
              <w:bCs/>
              <w:noProof/>
            </w:rPr>
            <w:t>4</w:t>
          </w:r>
          <w:r w:rsidRPr="00000726">
            <w:rPr>
              <w:rFonts w:ascii="Times New Roman" w:hAnsi="Times New Roman" w:cs="Times New Roman"/>
              <w:bCs/>
            </w:rPr>
            <w:fldChar w:fldCharType="end"/>
          </w:r>
          <w:r w:rsidRPr="00000726">
            <w:rPr>
              <w:rFonts w:ascii="Times New Roman" w:hAnsi="Times New Roman" w:cs="Times New Roman"/>
            </w:rPr>
            <w:t xml:space="preserve"> / </w:t>
          </w:r>
          <w:r w:rsidRPr="00000726">
            <w:rPr>
              <w:rFonts w:ascii="Times New Roman" w:hAnsi="Times New Roman" w:cs="Times New Roman"/>
              <w:bCs/>
            </w:rPr>
            <w:fldChar w:fldCharType="begin"/>
          </w:r>
          <w:r w:rsidRPr="00000726">
            <w:rPr>
              <w:rFonts w:ascii="Times New Roman" w:hAnsi="Times New Roman" w:cs="Times New Roman"/>
              <w:bCs/>
            </w:rPr>
            <w:instrText>NUMPAGES  \* Arabic  \* MERGEFORMAT</w:instrText>
          </w:r>
          <w:r w:rsidRPr="00000726">
            <w:rPr>
              <w:rFonts w:ascii="Times New Roman" w:hAnsi="Times New Roman" w:cs="Times New Roman"/>
              <w:bCs/>
            </w:rPr>
            <w:fldChar w:fldCharType="separate"/>
          </w:r>
          <w:r w:rsidR="00764E69">
            <w:rPr>
              <w:rFonts w:ascii="Times New Roman" w:hAnsi="Times New Roman" w:cs="Times New Roman"/>
              <w:bCs/>
              <w:noProof/>
            </w:rPr>
            <w:t>4</w:t>
          </w:r>
          <w:r w:rsidRPr="00000726">
            <w:rPr>
              <w:rFonts w:ascii="Times New Roman" w:hAnsi="Times New Roman" w:cs="Times New Roman"/>
              <w:bCs/>
            </w:rPr>
            <w:fldChar w:fldCharType="end"/>
          </w:r>
        </w:p>
      </w:tc>
    </w:tr>
  </w:tbl>
  <w:p w:rsidR="00000726" w:rsidRDefault="000007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6C1"/>
    <w:multiLevelType w:val="hybridMultilevel"/>
    <w:tmpl w:val="796A3A8E"/>
    <w:lvl w:ilvl="0" w:tplc="7514E1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95520"/>
    <w:multiLevelType w:val="hybridMultilevel"/>
    <w:tmpl w:val="6614A6C8"/>
    <w:lvl w:ilvl="0" w:tplc="5DE458B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C67A2D"/>
    <w:multiLevelType w:val="hybridMultilevel"/>
    <w:tmpl w:val="5D8ACA9E"/>
    <w:lvl w:ilvl="0" w:tplc="A0C655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3E0"/>
    <w:multiLevelType w:val="hybridMultilevel"/>
    <w:tmpl w:val="A72CC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548D1"/>
    <w:multiLevelType w:val="hybridMultilevel"/>
    <w:tmpl w:val="7F928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4C3D"/>
    <w:multiLevelType w:val="hybridMultilevel"/>
    <w:tmpl w:val="E4C287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020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70441"/>
    <w:multiLevelType w:val="hybridMultilevel"/>
    <w:tmpl w:val="402C50FE"/>
    <w:lvl w:ilvl="0" w:tplc="BC9C1C4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F4AD2"/>
    <w:multiLevelType w:val="hybridMultilevel"/>
    <w:tmpl w:val="1E7038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4017F"/>
    <w:multiLevelType w:val="hybridMultilevel"/>
    <w:tmpl w:val="0E0EAA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38103E"/>
    <w:multiLevelType w:val="hybridMultilevel"/>
    <w:tmpl w:val="37A62BF4"/>
    <w:lvl w:ilvl="0" w:tplc="757A4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B2953"/>
    <w:multiLevelType w:val="hybridMultilevel"/>
    <w:tmpl w:val="13C81CC2"/>
    <w:lvl w:ilvl="0" w:tplc="F3C224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28CC"/>
    <w:multiLevelType w:val="hybridMultilevel"/>
    <w:tmpl w:val="72BCF1C2"/>
    <w:lvl w:ilvl="0" w:tplc="31A4D6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1B2A"/>
    <w:multiLevelType w:val="hybridMultilevel"/>
    <w:tmpl w:val="8B4ED3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490F19"/>
    <w:multiLevelType w:val="hybridMultilevel"/>
    <w:tmpl w:val="EC74A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E0CD9"/>
    <w:multiLevelType w:val="hybridMultilevel"/>
    <w:tmpl w:val="B74215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436AF"/>
    <w:multiLevelType w:val="hybridMultilevel"/>
    <w:tmpl w:val="DFF68F3E"/>
    <w:lvl w:ilvl="0" w:tplc="CB0AC9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F0EF2"/>
    <w:multiLevelType w:val="hybridMultilevel"/>
    <w:tmpl w:val="2CBA31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40D92"/>
    <w:multiLevelType w:val="hybridMultilevel"/>
    <w:tmpl w:val="4ADE741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5"/>
  </w:num>
  <w:num w:numId="5">
    <w:abstractNumId w:val="14"/>
  </w:num>
  <w:num w:numId="6">
    <w:abstractNumId w:val="10"/>
  </w:num>
  <w:num w:numId="7">
    <w:abstractNumId w:val="17"/>
  </w:num>
  <w:num w:numId="8">
    <w:abstractNumId w:val="9"/>
  </w:num>
  <w:num w:numId="9">
    <w:abstractNumId w:val="13"/>
  </w:num>
  <w:num w:numId="10">
    <w:abstractNumId w:val="3"/>
  </w:num>
  <w:num w:numId="11">
    <w:abstractNumId w:val="11"/>
  </w:num>
  <w:num w:numId="12">
    <w:abstractNumId w:val="6"/>
  </w:num>
  <w:num w:numId="13">
    <w:abstractNumId w:val="0"/>
  </w:num>
  <w:num w:numId="14">
    <w:abstractNumId w:val="1"/>
  </w:num>
  <w:num w:numId="15">
    <w:abstractNumId w:val="16"/>
  </w:num>
  <w:num w:numId="16">
    <w:abstractNumId w:val="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7"/>
    <w:rsid w:val="00000726"/>
    <w:rsid w:val="00001697"/>
    <w:rsid w:val="00012127"/>
    <w:rsid w:val="00042B84"/>
    <w:rsid w:val="00082AB0"/>
    <w:rsid w:val="00095D54"/>
    <w:rsid w:val="00097F27"/>
    <w:rsid w:val="000A6477"/>
    <w:rsid w:val="001472E1"/>
    <w:rsid w:val="001660C5"/>
    <w:rsid w:val="001B1EDA"/>
    <w:rsid w:val="001C24B6"/>
    <w:rsid w:val="00203498"/>
    <w:rsid w:val="00241036"/>
    <w:rsid w:val="00254E86"/>
    <w:rsid w:val="002D497A"/>
    <w:rsid w:val="003002F6"/>
    <w:rsid w:val="003230EB"/>
    <w:rsid w:val="0035469C"/>
    <w:rsid w:val="00362625"/>
    <w:rsid w:val="00363046"/>
    <w:rsid w:val="003C107D"/>
    <w:rsid w:val="003C2EBA"/>
    <w:rsid w:val="003C4573"/>
    <w:rsid w:val="003F4CA1"/>
    <w:rsid w:val="0040184A"/>
    <w:rsid w:val="0044096E"/>
    <w:rsid w:val="004438E7"/>
    <w:rsid w:val="00443F92"/>
    <w:rsid w:val="00451641"/>
    <w:rsid w:val="004F0B4C"/>
    <w:rsid w:val="004F65EE"/>
    <w:rsid w:val="005100A0"/>
    <w:rsid w:val="005311D6"/>
    <w:rsid w:val="0058328B"/>
    <w:rsid w:val="005867A2"/>
    <w:rsid w:val="00593CF5"/>
    <w:rsid w:val="005A0A13"/>
    <w:rsid w:val="005C46F7"/>
    <w:rsid w:val="005F6744"/>
    <w:rsid w:val="00607AEF"/>
    <w:rsid w:val="00612A94"/>
    <w:rsid w:val="006635C1"/>
    <w:rsid w:val="006D7512"/>
    <w:rsid w:val="007102FB"/>
    <w:rsid w:val="00731D6E"/>
    <w:rsid w:val="00741423"/>
    <w:rsid w:val="0075186A"/>
    <w:rsid w:val="00756137"/>
    <w:rsid w:val="00764E69"/>
    <w:rsid w:val="007651D2"/>
    <w:rsid w:val="0078566E"/>
    <w:rsid w:val="007C6C50"/>
    <w:rsid w:val="007E1FB8"/>
    <w:rsid w:val="008440A9"/>
    <w:rsid w:val="00846CA0"/>
    <w:rsid w:val="008822E4"/>
    <w:rsid w:val="008A42D1"/>
    <w:rsid w:val="008B3912"/>
    <w:rsid w:val="008E48F7"/>
    <w:rsid w:val="009861AF"/>
    <w:rsid w:val="009D051A"/>
    <w:rsid w:val="009E744E"/>
    <w:rsid w:val="009F0428"/>
    <w:rsid w:val="00A53F2F"/>
    <w:rsid w:val="00A66CE6"/>
    <w:rsid w:val="00AB539F"/>
    <w:rsid w:val="00B04B6C"/>
    <w:rsid w:val="00B068ED"/>
    <w:rsid w:val="00B12837"/>
    <w:rsid w:val="00B16129"/>
    <w:rsid w:val="00B210FC"/>
    <w:rsid w:val="00B309F9"/>
    <w:rsid w:val="00B32AE9"/>
    <w:rsid w:val="00B40CBD"/>
    <w:rsid w:val="00BA725B"/>
    <w:rsid w:val="00BE0DD9"/>
    <w:rsid w:val="00BE395C"/>
    <w:rsid w:val="00BE6BAF"/>
    <w:rsid w:val="00C15E10"/>
    <w:rsid w:val="00C16596"/>
    <w:rsid w:val="00CC47BD"/>
    <w:rsid w:val="00CD7C46"/>
    <w:rsid w:val="00D130E0"/>
    <w:rsid w:val="00DF1942"/>
    <w:rsid w:val="00E030E8"/>
    <w:rsid w:val="00E128DF"/>
    <w:rsid w:val="00E51908"/>
    <w:rsid w:val="00E55E1F"/>
    <w:rsid w:val="00EA5D38"/>
    <w:rsid w:val="00EF4BDC"/>
    <w:rsid w:val="00F50C78"/>
    <w:rsid w:val="00F565E6"/>
    <w:rsid w:val="00F86458"/>
    <w:rsid w:val="00FB13BC"/>
    <w:rsid w:val="00FC2A17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038AE"/>
  <w15:chartTrackingRefBased/>
  <w15:docId w15:val="{1C0EE308-EFAE-4F8F-A9A2-9EA9E680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121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1212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12127"/>
    <w:pPr>
      <w:spacing w:after="0" w:line="240" w:lineRule="auto"/>
      <w:ind w:left="1407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12127"/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012127"/>
    <w:pPr>
      <w:tabs>
        <w:tab w:val="left" w:pos="1395"/>
      </w:tabs>
      <w:spacing w:after="0" w:line="240" w:lineRule="auto"/>
      <w:ind w:firstLine="360"/>
    </w:pPr>
    <w:rPr>
      <w:rFonts w:ascii="Times New Roman" w:eastAsia="Times New Roman" w:hAnsi="Times New Roman" w:cs="Times New Roman"/>
      <w:szCs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012127"/>
    <w:rPr>
      <w:rFonts w:ascii="Times New Roman" w:eastAsia="Times New Roman" w:hAnsi="Times New Roman" w:cs="Times New Roman"/>
      <w:szCs w:val="24"/>
    </w:rPr>
  </w:style>
  <w:style w:type="table" w:styleId="TabloKlavuzu">
    <w:name w:val="Table Grid"/>
    <w:basedOn w:val="NormalTablo"/>
    <w:uiPriority w:val="39"/>
    <w:rsid w:val="0001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12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00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726"/>
  </w:style>
  <w:style w:type="paragraph" w:styleId="AltBilgi">
    <w:name w:val="footer"/>
    <w:basedOn w:val="Normal"/>
    <w:link w:val="AltBilgiChar"/>
    <w:uiPriority w:val="99"/>
    <w:unhideWhenUsed/>
    <w:rsid w:val="0000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726"/>
  </w:style>
  <w:style w:type="paragraph" w:styleId="BalonMetni">
    <w:name w:val="Balloon Text"/>
    <w:basedOn w:val="Normal"/>
    <w:link w:val="BalonMetniChar"/>
    <w:uiPriority w:val="99"/>
    <w:semiHidden/>
    <w:unhideWhenUsed/>
    <w:rsid w:val="00AB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539F"/>
    <w:rPr>
      <w:rFonts w:ascii="Segoe UI" w:hAnsi="Segoe UI" w:cs="Segoe UI"/>
      <w:sz w:val="18"/>
      <w:szCs w:val="18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F50C7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50C78"/>
    <w:rPr>
      <w:sz w:val="16"/>
      <w:szCs w:val="16"/>
    </w:rPr>
  </w:style>
  <w:style w:type="paragraph" w:customStyle="1" w:styleId="msobodytextindent">
    <w:name w:val="msobodytextindent"/>
    <w:basedOn w:val="Normal"/>
    <w:rsid w:val="003C4573"/>
    <w:pPr>
      <w:spacing w:after="0" w:line="240" w:lineRule="auto"/>
      <w:ind w:left="1407"/>
    </w:pPr>
    <w:rPr>
      <w:rFonts w:ascii="Arial" w:eastAsia="Times New Roman" w:hAnsi="Arial" w:cs="Times New Roman"/>
      <w:noProof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0B32-FC2C-4CFD-AC2C-2F673C14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</dc:creator>
  <cp:keywords/>
  <dc:description/>
  <cp:lastModifiedBy>HEDİYE</cp:lastModifiedBy>
  <cp:revision>4</cp:revision>
  <cp:lastPrinted>2020-05-11T10:10:00Z</cp:lastPrinted>
  <dcterms:created xsi:type="dcterms:W3CDTF">2026-04-17T08:41:00Z</dcterms:created>
  <dcterms:modified xsi:type="dcterms:W3CDTF">2026-04-17T09:09:00Z</dcterms:modified>
</cp:coreProperties>
</file>